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1E" w:rsidRDefault="0035421E" w:rsidP="00C9708C">
      <w:pPr>
        <w:pStyle w:val="Titolo"/>
        <w:spacing w:before="420" w:after="100"/>
        <w:jc w:val="center"/>
        <w:rPr>
          <w:rFonts w:ascii="Bookman Old Style" w:hAnsi="Bookman Old Style"/>
          <w:b/>
          <w:sz w:val="32"/>
          <w:szCs w:val="32"/>
        </w:rPr>
      </w:pPr>
      <w:r w:rsidRPr="00A67134">
        <w:rPr>
          <w:rFonts w:ascii="Bookman Old Style" w:hAnsi="Bookman Old Style"/>
          <w:b/>
          <w:sz w:val="32"/>
          <w:szCs w:val="32"/>
        </w:rPr>
        <w:t>CENTRI AUTORIZZATI ALLA DIAGNOSI E PRESCRIZIONE DI FARMACI SOTTOPOSTI A LIMITAZIONE</w:t>
      </w:r>
      <w:r>
        <w:rPr>
          <w:rFonts w:ascii="Bookman Old Style" w:hAnsi="Bookman Old Style"/>
          <w:b/>
          <w:sz w:val="32"/>
          <w:szCs w:val="32"/>
        </w:rPr>
        <w:t xml:space="preserve"> </w:t>
      </w:r>
    </w:p>
    <w:p w:rsidR="0035421E" w:rsidRPr="003D2DBF" w:rsidRDefault="00792292" w:rsidP="003D3715">
      <w:pPr>
        <w:pStyle w:val="Default"/>
        <w:jc w:val="center"/>
        <w:rPr>
          <w:rFonts w:ascii="Bookman Old Style" w:hAnsi="Bookman Old Style"/>
          <w:b/>
          <w:color w:val="FF0000"/>
          <w:sz w:val="36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VENCLYXTO</w:t>
      </w:r>
      <w:r w:rsidR="00B22487">
        <w:rPr>
          <w:rFonts w:ascii="Bookman Old Style" w:hAnsi="Bookman Old Style"/>
          <w:b/>
          <w:color w:val="FF0000"/>
          <w:sz w:val="32"/>
          <w:szCs w:val="32"/>
        </w:rPr>
        <w:t xml:space="preserve"> (</w:t>
      </w:r>
      <w:r>
        <w:rPr>
          <w:rFonts w:ascii="Bookman Old Style" w:hAnsi="Bookman Old Style"/>
          <w:b/>
          <w:color w:val="FF0000"/>
          <w:sz w:val="32"/>
          <w:szCs w:val="32"/>
        </w:rPr>
        <w:t>VENETOCLAX</w:t>
      </w:r>
      <w:r w:rsidR="00B22487">
        <w:rPr>
          <w:rFonts w:ascii="Bookman Old Style" w:hAnsi="Bookman Old Style"/>
          <w:b/>
          <w:color w:val="FF0000"/>
          <w:sz w:val="32"/>
          <w:szCs w:val="32"/>
        </w:rPr>
        <w:t>)</w:t>
      </w:r>
    </w:p>
    <w:p w:rsidR="0035421E" w:rsidRPr="00A67134" w:rsidRDefault="0035421E" w:rsidP="00C9708C"/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farmaco</w:t>
      </w:r>
    </w:p>
    <w:tbl>
      <w:tblPr>
        <w:tblStyle w:val="TabellaRapportostato"/>
        <w:tblW w:w="5000" w:type="pct"/>
        <w:tblLook w:val="04A0" w:firstRow="1" w:lastRow="0" w:firstColumn="1" w:lastColumn="0" w:noHBand="0" w:noVBand="1"/>
      </w:tblPr>
      <w:tblGrid>
        <w:gridCol w:w="2749"/>
        <w:gridCol w:w="3664"/>
        <w:gridCol w:w="3667"/>
      </w:tblGrid>
      <w:tr w:rsidR="0035421E" w:rsidRPr="00C57570" w:rsidTr="00CA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:rsidR="0035421E" w:rsidRPr="00C57570" w:rsidRDefault="00792292" w:rsidP="007A74BF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/>
                <w:color w:val="auto"/>
                <w:sz w:val="24"/>
                <w:szCs w:val="24"/>
              </w:rPr>
              <w:t>VENCLYXTO</w:t>
            </w:r>
          </w:p>
        </w:tc>
        <w:tc>
          <w:tcPr>
            <w:tcW w:w="3664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3667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principio attivo</w:t>
      </w:r>
    </w:p>
    <w:p w:rsidR="0035421E" w:rsidRPr="00C57570" w:rsidRDefault="00792292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VENETOCLAX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DOCUMENTAZIONE</w:t>
      </w:r>
    </w:p>
    <w:p w:rsidR="004D7FDC" w:rsidRPr="00792292" w:rsidRDefault="0035421E" w:rsidP="004D7FDC">
      <w:pPr>
        <w:jc w:val="both"/>
        <w:rPr>
          <w:rFonts w:ascii="Bookman Old Style" w:hAnsi="Bookman Old Style"/>
          <w:b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Determin</w:t>
      </w:r>
      <w:r w:rsidR="00792292">
        <w:rPr>
          <w:rFonts w:ascii="Bookman Old Style" w:hAnsi="Bookman Old Style"/>
          <w:b/>
          <w:color w:val="auto"/>
          <w:sz w:val="24"/>
          <w:szCs w:val="24"/>
        </w:rPr>
        <w:t>a</w:t>
      </w:r>
      <w:r w:rsidRPr="00B52635">
        <w:rPr>
          <w:rFonts w:ascii="Bookman Old Style" w:hAnsi="Bookman Old Style"/>
          <w:b/>
          <w:color w:val="auto"/>
          <w:sz w:val="24"/>
          <w:szCs w:val="24"/>
        </w:rPr>
        <w:t xml:space="preserve"> AIFA: </w:t>
      </w:r>
      <w:r w:rsidR="00792292" w:rsidRPr="00792292">
        <w:rPr>
          <w:rFonts w:ascii="Bookman Old Style" w:hAnsi="Bookman Old Style"/>
          <w:color w:val="auto"/>
          <w:sz w:val="24"/>
          <w:szCs w:val="24"/>
        </w:rPr>
        <w:t>n. 1774 del 27/11/2019</w:t>
      </w:r>
      <w:r w:rsidR="004D7FDC" w:rsidRPr="00792292">
        <w:rPr>
          <w:rFonts w:ascii="Bookman Old Style" w:hAnsi="Bookman Old Style"/>
          <w:color w:val="auto"/>
          <w:sz w:val="24"/>
          <w:szCs w:val="24"/>
        </w:rPr>
        <w:t>.</w:t>
      </w:r>
    </w:p>
    <w:p w:rsidR="0035421E" w:rsidRPr="00B52635" w:rsidRDefault="0035421E" w:rsidP="004D7FD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O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ggetto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4D7FDC">
        <w:rPr>
          <w:rFonts w:ascii="Bookman Old Style" w:hAnsi="Bookman Old Style"/>
          <w:color w:val="auto"/>
          <w:sz w:val="24"/>
          <w:szCs w:val="24"/>
        </w:rPr>
        <w:t xml:space="preserve">Regime di rimborsabilità e prezzo a seguito di nuove indicazioni terapeutiche del medicinale per uso umano </w:t>
      </w:r>
      <w:proofErr w:type="spellStart"/>
      <w:r w:rsidR="00792292">
        <w:rPr>
          <w:rFonts w:ascii="Bookman Old Style" w:hAnsi="Bookman Old Style"/>
          <w:color w:val="auto"/>
          <w:sz w:val="24"/>
          <w:szCs w:val="24"/>
        </w:rPr>
        <w:t>Venclyxto</w:t>
      </w:r>
      <w:proofErr w:type="spellEnd"/>
      <w:r w:rsidR="00B22487">
        <w:rPr>
          <w:rFonts w:ascii="Bookman Old Style" w:hAnsi="Bookman Old Style"/>
          <w:color w:val="auto"/>
          <w:sz w:val="24"/>
          <w:szCs w:val="24"/>
        </w:rPr>
        <w:t>;</w:t>
      </w:r>
    </w:p>
    <w:p w:rsidR="003C1F13" w:rsidRDefault="0035421E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D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isposizione</w:t>
      </w:r>
      <w:r w:rsidRPr="00B52635">
        <w:rPr>
          <w:rFonts w:ascii="Bookman Old Style" w:hAnsi="Bookman Old Style"/>
          <w:color w:val="auto"/>
          <w:sz w:val="24"/>
          <w:szCs w:val="24"/>
        </w:rPr>
        <w:t>: Rimborsabilità a carico del SSN a partire dal</w:t>
      </w:r>
      <w:r w:rsidR="004D7FDC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792292">
        <w:rPr>
          <w:rFonts w:ascii="Bookman Old Style" w:hAnsi="Bookman Old Style"/>
          <w:color w:val="auto"/>
          <w:sz w:val="24"/>
          <w:szCs w:val="24"/>
        </w:rPr>
        <w:t>13</w:t>
      </w:r>
      <w:r w:rsidR="004D7FDC">
        <w:rPr>
          <w:rFonts w:ascii="Bookman Old Style" w:hAnsi="Bookman Old Style"/>
          <w:color w:val="auto"/>
          <w:sz w:val="24"/>
          <w:szCs w:val="24"/>
        </w:rPr>
        <w:t>/12/2019</w:t>
      </w:r>
      <w:r w:rsidRPr="00B52635">
        <w:rPr>
          <w:rFonts w:ascii="Bookman Old Style" w:hAnsi="Bookman Old Style"/>
          <w:color w:val="auto"/>
          <w:sz w:val="24"/>
          <w:szCs w:val="24"/>
        </w:rPr>
        <w:t>.</w:t>
      </w:r>
    </w:p>
    <w:p w:rsidR="003C1F13" w:rsidRPr="00613638" w:rsidRDefault="003C1F13" w:rsidP="003C1F13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613638">
        <w:rPr>
          <w:rFonts w:ascii="Bookman Old Style" w:hAnsi="Bookman Old Style"/>
          <w:b/>
          <w:sz w:val="24"/>
          <w:szCs w:val="24"/>
        </w:rPr>
        <w:t>INDICAZIONI GIA’ RIMBORSATE</w:t>
      </w:r>
    </w:p>
    <w:p w:rsidR="005B674F" w:rsidRPr="005B674F" w:rsidRDefault="005B674F" w:rsidP="005B674F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Bookman Old Style" w:hAnsi="Bookman Old Style"/>
          <w:kern w:val="20"/>
          <w:sz w:val="24"/>
          <w:szCs w:val="24"/>
          <w:lang w:eastAsia="it-IT"/>
        </w:rPr>
      </w:pPr>
      <w:r w:rsidRPr="005B674F">
        <w:rPr>
          <w:rFonts w:ascii="Bookman Old Style" w:hAnsi="Bookman Old Style"/>
          <w:kern w:val="20"/>
          <w:sz w:val="24"/>
          <w:szCs w:val="24"/>
          <w:lang w:eastAsia="it-IT"/>
        </w:rPr>
        <w:t xml:space="preserve">1.VENCLYXTO in </w:t>
      </w:r>
      <w:proofErr w:type="spellStart"/>
      <w:r w:rsidRPr="005B674F">
        <w:rPr>
          <w:rFonts w:ascii="Bookman Old Style" w:hAnsi="Bookman Old Style"/>
          <w:kern w:val="20"/>
          <w:sz w:val="24"/>
          <w:szCs w:val="24"/>
          <w:lang w:eastAsia="it-IT"/>
        </w:rPr>
        <w:t>monoterapia</w:t>
      </w:r>
      <w:proofErr w:type="spellEnd"/>
      <w:r w:rsidRPr="005B674F">
        <w:rPr>
          <w:rFonts w:ascii="Bookman Old Style" w:hAnsi="Bookman Old Style"/>
          <w:kern w:val="20"/>
          <w:sz w:val="24"/>
          <w:szCs w:val="24"/>
          <w:lang w:eastAsia="it-IT"/>
        </w:rPr>
        <w:t xml:space="preserve"> è indicato per il trattamento della Leucemia Linfatica Cronica (CLL- </w:t>
      </w:r>
      <w:proofErr w:type="spellStart"/>
      <w:r w:rsidRPr="005B674F">
        <w:rPr>
          <w:rFonts w:ascii="Bookman Old Style" w:hAnsi="Bookman Old Style"/>
          <w:kern w:val="20"/>
          <w:sz w:val="24"/>
          <w:szCs w:val="24"/>
          <w:lang w:eastAsia="it-IT"/>
        </w:rPr>
        <w:t>chroniclymphocytic</w:t>
      </w:r>
      <w:proofErr w:type="spellEnd"/>
      <w:r w:rsidRPr="005B674F">
        <w:rPr>
          <w:rFonts w:ascii="Bookman Old Style" w:hAnsi="Bookman Old Style"/>
          <w:kern w:val="20"/>
          <w:sz w:val="24"/>
          <w:szCs w:val="24"/>
          <w:lang w:eastAsia="it-IT"/>
        </w:rPr>
        <w:t xml:space="preserve"> </w:t>
      </w:r>
      <w:proofErr w:type="spellStart"/>
      <w:r w:rsidRPr="005B674F">
        <w:rPr>
          <w:rFonts w:ascii="Bookman Old Style" w:hAnsi="Bookman Old Style"/>
          <w:kern w:val="20"/>
          <w:sz w:val="24"/>
          <w:szCs w:val="24"/>
          <w:lang w:eastAsia="it-IT"/>
        </w:rPr>
        <w:t>leukaemia</w:t>
      </w:r>
      <w:proofErr w:type="spellEnd"/>
      <w:r w:rsidRPr="005B674F">
        <w:rPr>
          <w:rFonts w:ascii="Bookman Old Style" w:hAnsi="Bookman Old Style"/>
          <w:kern w:val="20"/>
          <w:sz w:val="24"/>
          <w:szCs w:val="24"/>
          <w:lang w:eastAsia="it-IT"/>
        </w:rPr>
        <w:t>) in presenza della delezione 17p o della mutazione TP53 in pazienti adulti non idonei oche hanno fallito la terapia con un inibitore della via del recettore delle cellule B.</w:t>
      </w:r>
    </w:p>
    <w:p w:rsidR="005B674F" w:rsidRDefault="005B674F" w:rsidP="005B674F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Bookman Old Style" w:hAnsi="Bookman Old Style"/>
          <w:kern w:val="20"/>
          <w:sz w:val="24"/>
          <w:szCs w:val="24"/>
          <w:lang w:eastAsia="it-IT"/>
        </w:rPr>
      </w:pPr>
    </w:p>
    <w:p w:rsidR="00A432EA" w:rsidRPr="005B674F" w:rsidRDefault="005B674F" w:rsidP="005B674F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Bookman Old Style" w:hAnsi="Bookman Old Style"/>
          <w:kern w:val="20"/>
          <w:sz w:val="24"/>
          <w:szCs w:val="24"/>
          <w:lang w:eastAsia="it-IT"/>
        </w:rPr>
      </w:pPr>
      <w:r w:rsidRPr="005B674F">
        <w:rPr>
          <w:rFonts w:ascii="Bookman Old Style" w:hAnsi="Bookman Old Style"/>
          <w:kern w:val="20"/>
          <w:sz w:val="24"/>
          <w:szCs w:val="24"/>
          <w:lang w:eastAsia="it-IT"/>
        </w:rPr>
        <w:t xml:space="preserve">2.VENCLYXTO in </w:t>
      </w:r>
      <w:proofErr w:type="spellStart"/>
      <w:r w:rsidRPr="005B674F">
        <w:rPr>
          <w:rFonts w:ascii="Bookman Old Style" w:hAnsi="Bookman Old Style"/>
          <w:kern w:val="20"/>
          <w:sz w:val="24"/>
          <w:szCs w:val="24"/>
          <w:lang w:eastAsia="it-IT"/>
        </w:rPr>
        <w:t>monoterapia</w:t>
      </w:r>
      <w:proofErr w:type="spellEnd"/>
      <w:r w:rsidRPr="005B674F">
        <w:rPr>
          <w:rFonts w:ascii="Bookman Old Style" w:hAnsi="Bookman Old Style"/>
          <w:kern w:val="20"/>
          <w:sz w:val="24"/>
          <w:szCs w:val="24"/>
          <w:lang w:eastAsia="it-IT"/>
        </w:rPr>
        <w:t xml:space="preserve"> è indicato per il trattamento di pazienti adulti con CLL in assenza </w:t>
      </w:r>
      <w:proofErr w:type="spellStart"/>
      <w:r w:rsidRPr="005B674F">
        <w:rPr>
          <w:rFonts w:ascii="Bookman Old Style" w:hAnsi="Bookman Old Style"/>
          <w:kern w:val="20"/>
          <w:sz w:val="24"/>
          <w:szCs w:val="24"/>
          <w:lang w:eastAsia="it-IT"/>
        </w:rPr>
        <w:t>delladelezione</w:t>
      </w:r>
      <w:proofErr w:type="spellEnd"/>
      <w:r w:rsidRPr="005B674F">
        <w:rPr>
          <w:rFonts w:ascii="Bookman Old Style" w:hAnsi="Bookman Old Style"/>
          <w:kern w:val="20"/>
          <w:sz w:val="24"/>
          <w:szCs w:val="24"/>
          <w:lang w:eastAsia="it-IT"/>
        </w:rPr>
        <w:t xml:space="preserve"> 17p o mutazione TP53 che hanno fallito la</w:t>
      </w:r>
      <w:r>
        <w:rPr>
          <w:rFonts w:ascii="Bookman Old Style" w:hAnsi="Bookman Old Style"/>
          <w:kern w:val="20"/>
          <w:sz w:val="24"/>
          <w:szCs w:val="24"/>
          <w:lang w:eastAsia="it-IT"/>
        </w:rPr>
        <w:t xml:space="preserve"> </w:t>
      </w:r>
      <w:r w:rsidRPr="005B674F">
        <w:rPr>
          <w:rFonts w:ascii="Bookman Old Style" w:hAnsi="Bookman Old Style"/>
          <w:kern w:val="20"/>
          <w:sz w:val="24"/>
          <w:szCs w:val="24"/>
          <w:lang w:eastAsia="it-IT"/>
        </w:rPr>
        <w:t>chemio</w:t>
      </w:r>
      <w:r>
        <w:rPr>
          <w:rFonts w:ascii="Bookman Old Style" w:hAnsi="Bookman Old Style"/>
          <w:kern w:val="20"/>
          <w:sz w:val="24"/>
          <w:szCs w:val="24"/>
          <w:lang w:eastAsia="it-IT"/>
        </w:rPr>
        <w:t>-</w:t>
      </w:r>
      <w:r w:rsidRPr="005B674F">
        <w:rPr>
          <w:rFonts w:ascii="Bookman Old Style" w:hAnsi="Bookman Old Style"/>
          <w:kern w:val="20"/>
          <w:sz w:val="24"/>
          <w:szCs w:val="24"/>
          <w:lang w:eastAsia="it-IT"/>
        </w:rPr>
        <w:t>immunoterapia e la terapia con un inibitore della via del recettore delle cellule B.</w:t>
      </w:r>
    </w:p>
    <w:p w:rsidR="0035421E" w:rsidRPr="00777C21" w:rsidRDefault="00F5284F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NUOVE INDICAZIONi TERAPEUTICHE</w:t>
      </w:r>
    </w:p>
    <w:p w:rsidR="004D7FDC" w:rsidRPr="004D7FDC" w:rsidRDefault="00D403D2" w:rsidP="00D403D2">
      <w:pPr>
        <w:spacing w:before="0" w:after="0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</w:pPr>
      <w:r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I</w:t>
      </w:r>
      <w:r w:rsidRPr="00D403D2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n combinazione con </w:t>
      </w:r>
      <w:proofErr w:type="spellStart"/>
      <w:r w:rsidRPr="00D403D2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rituximab</w:t>
      </w:r>
      <w:proofErr w:type="spellEnd"/>
      <w:r w:rsidRPr="00D403D2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è indicato per il trattamento di pazienti adulti con leucemia linfatica cronica (CLL) che hanno ricevuto almeno una terapia precedente.</w:t>
      </w:r>
    </w:p>
    <w:p w:rsidR="00012557" w:rsidRPr="00777C21" w:rsidRDefault="00800C91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GAZZETTA UFFICIALE</w:t>
      </w:r>
    </w:p>
    <w:p w:rsidR="004D7FDC" w:rsidRDefault="00800C91" w:rsidP="004D7FDC">
      <w:pPr>
        <w:shd w:val="clear" w:color="auto" w:fill="FFFFFF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b/>
          <w:color w:val="auto"/>
          <w:sz w:val="24"/>
          <w:szCs w:val="24"/>
        </w:rPr>
        <w:t>N</w:t>
      </w:r>
      <w:r w:rsidR="00012557"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4D7FDC">
        <w:rPr>
          <w:rFonts w:ascii="Bookman Old Style" w:hAnsi="Bookman Old Style"/>
          <w:color w:val="auto"/>
          <w:sz w:val="24"/>
          <w:szCs w:val="24"/>
        </w:rPr>
        <w:t>2</w:t>
      </w:r>
      <w:r w:rsidR="00792292">
        <w:rPr>
          <w:rFonts w:ascii="Bookman Old Style" w:hAnsi="Bookman Old Style"/>
          <w:color w:val="auto"/>
          <w:sz w:val="24"/>
          <w:szCs w:val="24"/>
        </w:rPr>
        <w:t>91</w:t>
      </w:r>
      <w:r>
        <w:rPr>
          <w:rFonts w:ascii="Bookman Old Style" w:hAnsi="Bookman Old Style"/>
          <w:color w:val="auto"/>
          <w:sz w:val="24"/>
          <w:szCs w:val="24"/>
        </w:rPr>
        <w:t xml:space="preserve"> del </w:t>
      </w:r>
      <w:r w:rsidR="004D7FDC">
        <w:rPr>
          <w:rFonts w:ascii="Bookman Old Style" w:hAnsi="Bookman Old Style"/>
          <w:color w:val="auto"/>
          <w:sz w:val="24"/>
          <w:szCs w:val="24"/>
        </w:rPr>
        <w:t>1</w:t>
      </w:r>
      <w:r w:rsidR="00792292">
        <w:rPr>
          <w:rFonts w:ascii="Bookman Old Style" w:hAnsi="Bookman Old Style"/>
          <w:color w:val="auto"/>
          <w:sz w:val="24"/>
          <w:szCs w:val="24"/>
        </w:rPr>
        <w:t>2</w:t>
      </w:r>
      <w:r w:rsidR="004D7FDC">
        <w:rPr>
          <w:rFonts w:ascii="Bookman Old Style" w:hAnsi="Bookman Old Style"/>
          <w:color w:val="auto"/>
          <w:sz w:val="24"/>
          <w:szCs w:val="24"/>
        </w:rPr>
        <w:t>/12/2019</w:t>
      </w:r>
      <w:r w:rsidR="00012557" w:rsidRPr="00B52635">
        <w:rPr>
          <w:rFonts w:ascii="Bookman Old Style" w:hAnsi="Bookman Old Style"/>
          <w:color w:val="auto"/>
          <w:sz w:val="24"/>
          <w:szCs w:val="24"/>
        </w:rPr>
        <w:t xml:space="preserve"> (in allegato). </w:t>
      </w:r>
    </w:p>
    <w:p w:rsidR="00201076" w:rsidRPr="00A30FE0" w:rsidRDefault="00201076" w:rsidP="00201076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A30FE0">
        <w:rPr>
          <w:rFonts w:ascii="Bookman Old Style" w:hAnsi="Bookman Old Style"/>
          <w:b/>
          <w:sz w:val="24"/>
          <w:szCs w:val="24"/>
        </w:rPr>
        <w:t>RIMBORSABILITA’</w:t>
      </w:r>
    </w:p>
    <w:p w:rsidR="00201076" w:rsidRPr="00705626" w:rsidRDefault="00201076" w:rsidP="00201076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Courier"/>
          <w:sz w:val="24"/>
          <w:szCs w:val="24"/>
        </w:rPr>
      </w:pPr>
      <w:r w:rsidRPr="00705626">
        <w:rPr>
          <w:rFonts w:ascii="Bookman Old Style" w:hAnsi="Bookman Old Style"/>
          <w:sz w:val="24"/>
          <w:szCs w:val="24"/>
        </w:rPr>
        <w:t xml:space="preserve">Classe di rimborsabilità H; </w:t>
      </w:r>
    </w:p>
    <w:p w:rsidR="00201076" w:rsidRDefault="00201076" w:rsidP="00201076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PSMT"/>
          <w:sz w:val="24"/>
          <w:szCs w:val="24"/>
        </w:rPr>
      </w:pPr>
      <w:r w:rsidRPr="00AE329A">
        <w:rPr>
          <w:rFonts w:ascii="Bookman Old Style" w:hAnsi="Bookman Old Style" w:cs="TimesNewRomanPSMT"/>
          <w:sz w:val="24"/>
          <w:szCs w:val="24"/>
        </w:rPr>
        <w:t xml:space="preserve">Sconto obbligatorio sul prezzo ex </w:t>
      </w:r>
      <w:proofErr w:type="spellStart"/>
      <w:r w:rsidRPr="00AE329A">
        <w:rPr>
          <w:rFonts w:ascii="Bookman Old Style" w:hAnsi="Bookman Old Style" w:cs="TimesNewRomanPSMT"/>
          <w:sz w:val="24"/>
          <w:szCs w:val="24"/>
        </w:rPr>
        <w:t>factory</w:t>
      </w:r>
      <w:proofErr w:type="spellEnd"/>
      <w:r w:rsidRPr="00AE329A">
        <w:rPr>
          <w:rFonts w:ascii="Bookman Old Style" w:hAnsi="Bookman Old Style" w:cs="TimesNewRomanPSMT"/>
          <w:sz w:val="24"/>
          <w:szCs w:val="24"/>
        </w:rPr>
        <w:t xml:space="preserve"> da praticarsi alle strutture pubbliche del SSN, ivi comprese le strutture private accreditate sanitarie, come da condizioni</w:t>
      </w:r>
      <w:r>
        <w:rPr>
          <w:rFonts w:ascii="Bookman Old Style" w:hAnsi="Bookman Old Style" w:cs="TimesNewRomanPSMT"/>
          <w:sz w:val="24"/>
          <w:szCs w:val="24"/>
        </w:rPr>
        <w:t xml:space="preserve"> negoziali</w:t>
      </w:r>
      <w:r w:rsidRPr="00AE329A">
        <w:rPr>
          <w:rFonts w:ascii="Bookman Old Style" w:hAnsi="Bookman Old Style" w:cs="TimesNewRomanPSMT"/>
          <w:sz w:val="24"/>
          <w:szCs w:val="24"/>
        </w:rPr>
        <w:t xml:space="preserve">; </w:t>
      </w:r>
    </w:p>
    <w:p w:rsidR="009225AF" w:rsidRDefault="009225AF" w:rsidP="009225AF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 xml:space="preserve">Innovatività terapeutica condizionata: </w:t>
      </w:r>
      <w:r w:rsidRPr="00023EB4">
        <w:rPr>
          <w:rFonts w:ascii="Bookman Old Style" w:hAnsi="Bookman Old Style" w:cs="TimesNewRomanPSMT"/>
          <w:sz w:val="24"/>
          <w:szCs w:val="24"/>
        </w:rPr>
        <w:t>inserimento diretto nei prontuari terapeutici regionali.</w:t>
      </w:r>
    </w:p>
    <w:p w:rsidR="00201076" w:rsidRPr="007A74BF" w:rsidRDefault="00201076" w:rsidP="00201076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Validità contratto: 24 mesi.</w:t>
      </w:r>
    </w:p>
    <w:p w:rsidR="00201076" w:rsidRPr="00777C21" w:rsidRDefault="00201076" w:rsidP="00201076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FORNITURA</w:t>
      </w:r>
    </w:p>
    <w:p w:rsidR="00201076" w:rsidRPr="007A74BF" w:rsidRDefault="00201076" w:rsidP="00201076">
      <w:pPr>
        <w:autoSpaceDE w:val="0"/>
        <w:autoSpaceDN w:val="0"/>
        <w:adjustRightInd w:val="0"/>
        <w:spacing w:before="0" w:after="0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</w:rPr>
      </w:pPr>
      <w:r w:rsidRPr="007A74BF">
        <w:rPr>
          <w:rFonts w:ascii="Bookman Old Style" w:hAnsi="Bookman Old Style" w:cs="TimesNewRomanPSMT"/>
          <w:color w:val="auto"/>
          <w:kern w:val="0"/>
          <w:sz w:val="24"/>
          <w:szCs w:val="24"/>
        </w:rPr>
        <w:t xml:space="preserve">Medicinale soggetto a prescrizione medica limitativa, </w:t>
      </w:r>
      <w:r w:rsidR="00D403D2">
        <w:rPr>
          <w:rFonts w:ascii="Bookman Old Style" w:hAnsi="Bookman Old Style" w:cs="TimesNewRomanPSMT"/>
          <w:color w:val="auto"/>
          <w:kern w:val="0"/>
          <w:sz w:val="24"/>
          <w:szCs w:val="24"/>
        </w:rPr>
        <w:t>da rinnovare di volta in volta, vendibile al pubblico su prescrizione di centri ospedalieri e specialisti - oncologo ed ematologo (RNRL</w:t>
      </w:r>
      <w:r>
        <w:rPr>
          <w:rFonts w:ascii="Bookman Old Style" w:hAnsi="Bookman Old Style" w:cs="TimesNewRomanPSMT"/>
          <w:color w:val="auto"/>
          <w:kern w:val="0"/>
          <w:sz w:val="24"/>
          <w:szCs w:val="24"/>
        </w:rPr>
        <w:t>).</w:t>
      </w:r>
    </w:p>
    <w:p w:rsidR="00201076" w:rsidRPr="00777C21" w:rsidRDefault="00201076" w:rsidP="00201076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PRESCRIZIONI A CARICO SSN</w:t>
      </w:r>
    </w:p>
    <w:p w:rsidR="00201076" w:rsidRPr="007A74BF" w:rsidRDefault="00201076" w:rsidP="00201076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 xml:space="preserve">I centri utilizzatori specificatamente individuati dalle Regioni, dovranno compilare la scheda raccolta dati informatizzata di arruolamento che indica i pazienti eleggibili e la scheda di follow-up, applicando le indicazioni pubblicate sul sito dell’AIFA, piattaforma web – all’indirizzo: </w:t>
      </w:r>
      <w:hyperlink r:id="rId10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https://www.agenziafarmaco.gov.it/registri/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;</w:t>
      </w:r>
    </w:p>
    <w:p w:rsidR="00201076" w:rsidRPr="007A74BF" w:rsidRDefault="00201076" w:rsidP="00201076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>Nelle more della piena attuazione del registro web-</w:t>
      </w:r>
      <w:proofErr w:type="spellStart"/>
      <w:r w:rsidRPr="007A74BF">
        <w:rPr>
          <w:rFonts w:ascii="Bookman Old Style" w:hAnsi="Bookman Old Style"/>
          <w:sz w:val="24"/>
          <w:szCs w:val="24"/>
        </w:rPr>
        <w:t>based</w:t>
      </w:r>
      <w:proofErr w:type="spellEnd"/>
      <w:r w:rsidRPr="007A74BF">
        <w:rPr>
          <w:rFonts w:ascii="Bookman Old Style" w:hAnsi="Bookman Old Style"/>
          <w:sz w:val="24"/>
          <w:szCs w:val="24"/>
        </w:rPr>
        <w:t xml:space="preserve">, al fine di garantire la disponibilità del trattamento ai pazienti le prescrizioni dovranno essere </w:t>
      </w:r>
      <w:r>
        <w:rPr>
          <w:rFonts w:ascii="Bookman Old Style" w:hAnsi="Bookman Old Style"/>
          <w:sz w:val="24"/>
          <w:szCs w:val="24"/>
        </w:rPr>
        <w:t>effettuate</w:t>
      </w:r>
      <w:r w:rsidRPr="007A74BF">
        <w:rPr>
          <w:rFonts w:ascii="Bookman Old Style" w:hAnsi="Bookman Old Style"/>
          <w:sz w:val="24"/>
          <w:szCs w:val="24"/>
        </w:rPr>
        <w:t xml:space="preserve"> nel rispetto dei criteri di eleggibilità e di appropriatezza prescrittiva riportati nella documentazione consultabile sul portale istituzionale dell’AIFA: </w:t>
      </w:r>
      <w:hyperlink r:id="rId11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http://www.agenziafarmaco.gov.it/it/content/registri-farmaci-sottoposti-monitoraggio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 xml:space="preserve"> ;</w:t>
      </w:r>
    </w:p>
    <w:p w:rsidR="00201076" w:rsidRPr="007A74BF" w:rsidRDefault="00201076" w:rsidP="00201076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7A74BF">
        <w:rPr>
          <w:rFonts w:ascii="Bookman Old Style" w:hAnsi="Bookman Old Style"/>
          <w:sz w:val="24"/>
          <w:szCs w:val="24"/>
        </w:rPr>
        <w:t xml:space="preserve">I dati inerenti ai trattamenti effettuati a partire dalla data di entrata in vigore della deliberazione, tramite la modalità temporanea suindicata, dovranno essere successivamente riportati nella piattaforma web, secondo le modalità che saranno indicate nel sito: </w:t>
      </w:r>
      <w:hyperlink r:id="rId12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http://www.agenziafarmaco.gov.it/it/content/registri-farmaci-sottoposti-monitoraggio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.</w:t>
      </w:r>
      <w:r w:rsidRPr="007A74BF">
        <w:rPr>
          <w:rFonts w:ascii="Bookman Old Style" w:hAnsi="Bookman Old Style"/>
          <w:sz w:val="24"/>
          <w:szCs w:val="24"/>
        </w:rPr>
        <w:t xml:space="preserve"> 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CENTRI AUTORIZZATI</w:t>
      </w:r>
    </w:p>
    <w:p w:rsidR="008A457F" w:rsidRDefault="00E23724" w:rsidP="00D403D2">
      <w:pPr>
        <w:spacing w:before="0" w:after="0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</w:pP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I Cent</w:t>
      </w:r>
      <w:r w:rsidR="00D403D2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ri autorizzati alla prescrizione</w:t>
      </w:r>
      <w:r w:rsidR="008A457F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sono</w:t>
      </w:r>
      <w:r w:rsidR="008A457F"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</w:t>
      </w:r>
      <w:r w:rsidR="009C235B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i medesimi individuati per le precedenti indicazioni terapeutiche. </w:t>
      </w:r>
    </w:p>
    <w:p w:rsidR="00DD439B" w:rsidRDefault="00DD439B" w:rsidP="00DD439B">
      <w:pPr>
        <w:spacing w:before="0" w:after="0"/>
        <w:ind w:left="426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</w:pPr>
      <w:bookmarkStart w:id="0" w:name="_GoBack"/>
      <w:bookmarkEnd w:id="0"/>
    </w:p>
    <w:sectPr w:rsidR="00DD439B">
      <w:footerReference w:type="default" r:id="rId13"/>
      <w:headerReference w:type="first" r:id="rId14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E1F" w:rsidRDefault="00544E1F">
      <w:pPr>
        <w:spacing w:before="0" w:after="0"/>
      </w:pPr>
      <w:r>
        <w:separator/>
      </w:r>
    </w:p>
  </w:endnote>
  <w:endnote w:type="continuationSeparator" w:id="0">
    <w:p w:rsidR="00544E1F" w:rsidRDefault="00544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272113"/>
      <w:docPartObj>
        <w:docPartGallery w:val="Page Numbers (Bottom of Page)"/>
        <w:docPartUnique/>
      </w:docPartObj>
    </w:sdtPr>
    <w:sdtEndPr/>
    <w:sdtContent>
      <w:p w:rsidR="00D5457C" w:rsidRDefault="00D5457C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4" name="Decisio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5A9A35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DtjBvL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:rsidR="00D5457C" w:rsidRDefault="00D5457C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5B674F">
          <w:rPr>
            <w:noProof/>
          </w:rPr>
          <w:t>2</w:t>
        </w:r>
        <w:r>
          <w:fldChar w:fldCharType="end"/>
        </w:r>
      </w:p>
    </w:sdtContent>
  </w:sdt>
  <w:p w:rsidR="00D5457C" w:rsidRDefault="00D545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E1F" w:rsidRDefault="00544E1F">
      <w:pPr>
        <w:spacing w:before="0" w:after="0"/>
      </w:pPr>
      <w:r>
        <w:separator/>
      </w:r>
    </w:p>
  </w:footnote>
  <w:footnote w:type="continuationSeparator" w:id="0">
    <w:p w:rsidR="00544E1F" w:rsidRDefault="00544E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040"/>
      <w:gridCol w:w="5040"/>
    </w:tblGrid>
    <w:tr w:rsidR="00D5457C">
      <w:tc>
        <w:tcPr>
          <w:tcW w:w="2500" w:type="pct"/>
          <w:vAlign w:val="bottom"/>
        </w:tcPr>
        <w:p w:rsidR="00D5457C" w:rsidRDefault="00D5457C">
          <w:pPr>
            <w:spacing w:after="0"/>
          </w:pPr>
          <w:r>
            <w:rPr>
              <w:noProof/>
            </w:rPr>
            <w:drawing>
              <wp:inline distT="0" distB="0" distL="0" distR="0" wp14:anchorId="0955939D" wp14:editId="330CB598">
                <wp:extent cx="1685925" cy="692944"/>
                <wp:effectExtent l="0" t="0" r="0" b="0"/>
                <wp:docPr id="3" name="Immagine 2" descr="Risultati immagini per regione mar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Risultati immagini per regione marc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929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noProof/>
          </w:rPr>
          <w:alias w:val="Fare clic sull'icona per sostituire l'immagine"/>
          <w:tag w:val="Fare clic sull'icona per sostituire l'immagin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D5457C" w:rsidRDefault="00D5457C">
              <w:pPr>
                <w:pStyle w:val="Intestazione"/>
              </w:pPr>
              <w:r>
                <w:rPr>
                  <w:noProof/>
                </w:rPr>
                <w:drawing>
                  <wp:inline distT="0" distB="0" distL="0" distR="0" wp14:anchorId="6A77B17F" wp14:editId="0CE1568B">
                    <wp:extent cx="1714500" cy="773906"/>
                    <wp:effectExtent l="0" t="0" r="0" b="7620"/>
                    <wp:docPr id="14" name="Immagine 13" descr="http://www.hansproject.org/Portals/0/Skins/HANS_Skin_rev31/immagini/that-TEST6_17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" name="Immagine 13" descr="http://www.hansproject.org/Portals/0/Skins/HANS_Skin_rev31/immagini/that-TEST6_17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0" cy="7739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D5457C" w:rsidRDefault="00D545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F46"/>
    <w:multiLevelType w:val="hybridMultilevel"/>
    <w:tmpl w:val="E8128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ED8"/>
    <w:multiLevelType w:val="hybridMultilevel"/>
    <w:tmpl w:val="CC764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79AC"/>
    <w:multiLevelType w:val="hybridMultilevel"/>
    <w:tmpl w:val="0276A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2741A"/>
    <w:multiLevelType w:val="hybridMultilevel"/>
    <w:tmpl w:val="E8D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5323C"/>
    <w:multiLevelType w:val="hybridMultilevel"/>
    <w:tmpl w:val="A7804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4340"/>
    <w:multiLevelType w:val="singleLevel"/>
    <w:tmpl w:val="6E285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68C6837"/>
    <w:multiLevelType w:val="hybridMultilevel"/>
    <w:tmpl w:val="A7C84C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4B85"/>
    <w:multiLevelType w:val="hybridMultilevel"/>
    <w:tmpl w:val="270C6D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F4BD3"/>
    <w:multiLevelType w:val="hybridMultilevel"/>
    <w:tmpl w:val="426EDB62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4D805C88"/>
    <w:multiLevelType w:val="hybridMultilevel"/>
    <w:tmpl w:val="270C6D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E1641"/>
    <w:multiLevelType w:val="hybridMultilevel"/>
    <w:tmpl w:val="01E05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61158"/>
    <w:multiLevelType w:val="hybridMultilevel"/>
    <w:tmpl w:val="2FAE7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125C9"/>
    <w:multiLevelType w:val="hybridMultilevel"/>
    <w:tmpl w:val="B4FEE1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C0FBF"/>
    <w:multiLevelType w:val="multilevel"/>
    <w:tmpl w:val="A59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811AE6"/>
    <w:multiLevelType w:val="hybridMultilevel"/>
    <w:tmpl w:val="40D45E1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BA3008"/>
    <w:multiLevelType w:val="hybridMultilevel"/>
    <w:tmpl w:val="A4780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B2D8D"/>
    <w:multiLevelType w:val="hybridMultilevel"/>
    <w:tmpl w:val="492A2B0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503C52"/>
    <w:multiLevelType w:val="hybridMultilevel"/>
    <w:tmpl w:val="989E706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DB32C0"/>
    <w:multiLevelType w:val="hybridMultilevel"/>
    <w:tmpl w:val="73B8D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0"/>
  </w:num>
  <w:num w:numId="5">
    <w:abstractNumId w:val="16"/>
  </w:num>
  <w:num w:numId="6">
    <w:abstractNumId w:val="0"/>
  </w:num>
  <w:num w:numId="7">
    <w:abstractNumId w:val="15"/>
  </w:num>
  <w:num w:numId="8">
    <w:abstractNumId w:val="5"/>
  </w:num>
  <w:num w:numId="9">
    <w:abstractNumId w:val="17"/>
  </w:num>
  <w:num w:numId="10">
    <w:abstractNumId w:val="8"/>
  </w:num>
  <w:num w:numId="11">
    <w:abstractNumId w:val="14"/>
  </w:num>
  <w:num w:numId="12">
    <w:abstractNumId w:val="13"/>
  </w:num>
  <w:num w:numId="13">
    <w:abstractNumId w:val="18"/>
  </w:num>
  <w:num w:numId="14">
    <w:abstractNumId w:val="4"/>
  </w:num>
  <w:num w:numId="15">
    <w:abstractNumId w:val="1"/>
  </w:num>
  <w:num w:numId="16">
    <w:abstractNumId w:val="6"/>
  </w:num>
  <w:num w:numId="17">
    <w:abstractNumId w:val="2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A1"/>
    <w:rsid w:val="000072BA"/>
    <w:rsid w:val="00012557"/>
    <w:rsid w:val="00027448"/>
    <w:rsid w:val="000459D8"/>
    <w:rsid w:val="00066921"/>
    <w:rsid w:val="00086889"/>
    <w:rsid w:val="000E5124"/>
    <w:rsid w:val="001161EA"/>
    <w:rsid w:val="0014090C"/>
    <w:rsid w:val="00157130"/>
    <w:rsid w:val="00185A65"/>
    <w:rsid w:val="001D7DBA"/>
    <w:rsid w:val="001E4BE8"/>
    <w:rsid w:val="001F59D9"/>
    <w:rsid w:val="001F61C0"/>
    <w:rsid w:val="00201076"/>
    <w:rsid w:val="00221B79"/>
    <w:rsid w:val="00225C2E"/>
    <w:rsid w:val="0026366D"/>
    <w:rsid w:val="00297984"/>
    <w:rsid w:val="002B0F37"/>
    <w:rsid w:val="00301093"/>
    <w:rsid w:val="0035421E"/>
    <w:rsid w:val="0036393B"/>
    <w:rsid w:val="00370F4D"/>
    <w:rsid w:val="003A030E"/>
    <w:rsid w:val="003A66A6"/>
    <w:rsid w:val="003C1F13"/>
    <w:rsid w:val="003C3CB9"/>
    <w:rsid w:val="003C60AE"/>
    <w:rsid w:val="003D2DBF"/>
    <w:rsid w:val="003D3715"/>
    <w:rsid w:val="003E67C7"/>
    <w:rsid w:val="003F4908"/>
    <w:rsid w:val="004122A3"/>
    <w:rsid w:val="00443DA2"/>
    <w:rsid w:val="00465F14"/>
    <w:rsid w:val="004724A8"/>
    <w:rsid w:val="004773C1"/>
    <w:rsid w:val="00492A7A"/>
    <w:rsid w:val="00495531"/>
    <w:rsid w:val="004B22D5"/>
    <w:rsid w:val="004B7D73"/>
    <w:rsid w:val="004C0AF8"/>
    <w:rsid w:val="004D7D40"/>
    <w:rsid w:val="004D7FDC"/>
    <w:rsid w:val="004E4E8A"/>
    <w:rsid w:val="004E7965"/>
    <w:rsid w:val="004F5B99"/>
    <w:rsid w:val="004F5D52"/>
    <w:rsid w:val="005011ED"/>
    <w:rsid w:val="00531BB4"/>
    <w:rsid w:val="00544E1F"/>
    <w:rsid w:val="00551373"/>
    <w:rsid w:val="00587C03"/>
    <w:rsid w:val="005A59D1"/>
    <w:rsid w:val="005B1182"/>
    <w:rsid w:val="005B14EB"/>
    <w:rsid w:val="005B674F"/>
    <w:rsid w:val="005C0D55"/>
    <w:rsid w:val="005C3F78"/>
    <w:rsid w:val="0060036B"/>
    <w:rsid w:val="00604EAE"/>
    <w:rsid w:val="00613638"/>
    <w:rsid w:val="00624DD7"/>
    <w:rsid w:val="00636E92"/>
    <w:rsid w:val="00644D81"/>
    <w:rsid w:val="00663D74"/>
    <w:rsid w:val="00690745"/>
    <w:rsid w:val="006A6987"/>
    <w:rsid w:val="006B4E0B"/>
    <w:rsid w:val="006C3A26"/>
    <w:rsid w:val="006C7E77"/>
    <w:rsid w:val="00705626"/>
    <w:rsid w:val="00711107"/>
    <w:rsid w:val="00716C95"/>
    <w:rsid w:val="00741404"/>
    <w:rsid w:val="00777C21"/>
    <w:rsid w:val="00792292"/>
    <w:rsid w:val="007A74BF"/>
    <w:rsid w:val="007B409F"/>
    <w:rsid w:val="007F0B6D"/>
    <w:rsid w:val="00800C91"/>
    <w:rsid w:val="00804479"/>
    <w:rsid w:val="00810EB2"/>
    <w:rsid w:val="0083596E"/>
    <w:rsid w:val="00846B3B"/>
    <w:rsid w:val="008514EF"/>
    <w:rsid w:val="00855A73"/>
    <w:rsid w:val="008A0D87"/>
    <w:rsid w:val="008A457F"/>
    <w:rsid w:val="008B594C"/>
    <w:rsid w:val="008D1419"/>
    <w:rsid w:val="008F7318"/>
    <w:rsid w:val="00905A0F"/>
    <w:rsid w:val="009225AF"/>
    <w:rsid w:val="009309D9"/>
    <w:rsid w:val="00995551"/>
    <w:rsid w:val="009973C1"/>
    <w:rsid w:val="00997D0B"/>
    <w:rsid w:val="009B0AF1"/>
    <w:rsid w:val="009B6FFA"/>
    <w:rsid w:val="009B7A26"/>
    <w:rsid w:val="009C235B"/>
    <w:rsid w:val="009C6AF8"/>
    <w:rsid w:val="00A0271A"/>
    <w:rsid w:val="00A15CEA"/>
    <w:rsid w:val="00A16D92"/>
    <w:rsid w:val="00A310DC"/>
    <w:rsid w:val="00A313EF"/>
    <w:rsid w:val="00A37A25"/>
    <w:rsid w:val="00A432EA"/>
    <w:rsid w:val="00A56DAE"/>
    <w:rsid w:val="00A67134"/>
    <w:rsid w:val="00A9159C"/>
    <w:rsid w:val="00A964AA"/>
    <w:rsid w:val="00AB14A4"/>
    <w:rsid w:val="00AC385D"/>
    <w:rsid w:val="00AD1125"/>
    <w:rsid w:val="00AE73F2"/>
    <w:rsid w:val="00AF38B9"/>
    <w:rsid w:val="00B00E77"/>
    <w:rsid w:val="00B22487"/>
    <w:rsid w:val="00B36AF6"/>
    <w:rsid w:val="00B52635"/>
    <w:rsid w:val="00B90641"/>
    <w:rsid w:val="00BC53C6"/>
    <w:rsid w:val="00C12BD3"/>
    <w:rsid w:val="00C16F34"/>
    <w:rsid w:val="00C33F56"/>
    <w:rsid w:val="00C57570"/>
    <w:rsid w:val="00C77D13"/>
    <w:rsid w:val="00C9708C"/>
    <w:rsid w:val="00CB2919"/>
    <w:rsid w:val="00CD1365"/>
    <w:rsid w:val="00CF6B23"/>
    <w:rsid w:val="00D05E83"/>
    <w:rsid w:val="00D126A1"/>
    <w:rsid w:val="00D32ABF"/>
    <w:rsid w:val="00D403D2"/>
    <w:rsid w:val="00D5457C"/>
    <w:rsid w:val="00D55EFD"/>
    <w:rsid w:val="00DD439B"/>
    <w:rsid w:val="00DF57EA"/>
    <w:rsid w:val="00E23724"/>
    <w:rsid w:val="00E31521"/>
    <w:rsid w:val="00E523DB"/>
    <w:rsid w:val="00E56DDB"/>
    <w:rsid w:val="00E806EC"/>
    <w:rsid w:val="00EA5A8C"/>
    <w:rsid w:val="00EF7F6A"/>
    <w:rsid w:val="00F02067"/>
    <w:rsid w:val="00F16F0B"/>
    <w:rsid w:val="00F24787"/>
    <w:rsid w:val="00F35143"/>
    <w:rsid w:val="00F5284F"/>
    <w:rsid w:val="00F57D39"/>
    <w:rsid w:val="00F761E7"/>
    <w:rsid w:val="00F8263B"/>
    <w:rsid w:val="00F93DA3"/>
    <w:rsid w:val="00FA57F3"/>
    <w:rsid w:val="00FD7BE2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1553D3"/>
  <w15:docId w15:val="{6B32E6EA-2B2D-468E-98CA-1821771E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it-IT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kern w:val="20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kern w:val="20"/>
    </w:rPr>
  </w:style>
  <w:style w:type="paragraph" w:styleId="Pidipagina">
    <w:name w:val="footer"/>
    <w:basedOn w:val="Normale"/>
    <w:link w:val="PidipaginaCarattere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kern w:val="20"/>
    </w:rPr>
  </w:style>
  <w:style w:type="paragraph" w:styleId="Nessunaspaziatura">
    <w:name w:val="No Spacing"/>
    <w:link w:val="NessunaspaziaturaCarattere"/>
    <w:uiPriority w:val="1"/>
    <w:qFormat/>
    <w:pPr>
      <w:spacing w:before="0" w:after="0"/>
    </w:pPr>
  </w:style>
  <w:style w:type="character" w:styleId="Enfasigrassetto">
    <w:name w:val="Strong"/>
    <w:basedOn w:val="Carpredefinitoparagrafo"/>
    <w:uiPriority w:val="1"/>
    <w:unhideWhenUsed/>
    <w:qFormat/>
    <w:rPr>
      <w:b/>
      <w:bCs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</w:style>
  <w:style w:type="table" w:styleId="Grigliatabella">
    <w:name w:val="Table Grid"/>
    <w:basedOn w:val="Tabellanorma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Formuladichiusura">
    <w:name w:val="Closing"/>
    <w:basedOn w:val="Normale"/>
    <w:link w:val="FormuladichiusuraCarattere"/>
    <w:uiPriority w:val="99"/>
    <w:unhideWhenUsed/>
    <w:pPr>
      <w:spacing w:before="600" w:after="8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Pr>
      <w:kern w:val="20"/>
    </w:rPr>
  </w:style>
  <w:style w:type="table" w:customStyle="1" w:styleId="TabellaRapportostato">
    <w:name w:val="Tabella Rapporto stato"/>
    <w:basedOn w:val="Tabellanorma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aragrafoelenco">
    <w:name w:val="List Paragraph"/>
    <w:basedOn w:val="Normale"/>
    <w:uiPriority w:val="34"/>
    <w:qFormat/>
    <w:rsid w:val="000459D8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964AA"/>
    <w:rPr>
      <w:color w:val="646464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88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889"/>
    <w:rPr>
      <w:rFonts w:ascii="Segoe UI" w:hAnsi="Segoe UI" w:cs="Segoe UI"/>
      <w:kern w:val="20"/>
      <w:sz w:val="18"/>
      <w:szCs w:val="18"/>
    </w:rPr>
  </w:style>
  <w:style w:type="paragraph" w:customStyle="1" w:styleId="Default">
    <w:name w:val="Default"/>
    <w:rsid w:val="003D2DBF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37A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DefinizioneHTML">
    <w:name w:val="HTML Definition"/>
    <w:basedOn w:val="Carpredefinitoparagrafo"/>
    <w:uiPriority w:val="99"/>
    <w:semiHidden/>
    <w:unhideWhenUsed/>
    <w:rsid w:val="00A37A25"/>
    <w:rPr>
      <w:i/>
      <w:iCs/>
    </w:rPr>
  </w:style>
  <w:style w:type="character" w:customStyle="1" w:styleId="apple-converted-space">
    <w:name w:val="apple-converted-space"/>
    <w:basedOn w:val="Carpredefinitoparagrafo"/>
    <w:rsid w:val="00A3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genziafarmaco.gov.it/it/content/registri-farmaci-sottoposti-monitoraggi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genziafarmaco.gov.it/it/content/registri-farmaci-sottoposti-monitoraggi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genziafarmaco.gov.it/registr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_sagratella\AppData\Roaming\Microsoft\Templates\Relazione%20di%20stato%20del%20progetto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7BEEF8C-E9EB-4C1C-9991-C2369FD2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di stato del progetto.dotx</Template>
  <TotalTime>128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Sagratella</dc:creator>
  <cp:lastModifiedBy>Antea Maria Pia Mangano</cp:lastModifiedBy>
  <cp:revision>32</cp:revision>
  <cp:lastPrinted>2017-03-09T11:08:00Z</cp:lastPrinted>
  <dcterms:created xsi:type="dcterms:W3CDTF">2017-03-07T10:20:00Z</dcterms:created>
  <dcterms:modified xsi:type="dcterms:W3CDTF">2019-12-16T11:00:00Z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